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sz w:val="36"/>
          <w:szCs w:val="36"/>
        </w:rPr>
      </w:pPr>
      <w:r>
        <w:rPr>
          <w:rFonts w:ascii="仿宋" w:hAnsi="仿宋" w:eastAsia="仿宋"/>
          <w:sz w:val="36"/>
          <w:szCs w:val="36"/>
        </w:rPr>
        <w:t>中国</w:t>
      </w:r>
      <w:r>
        <w:rPr>
          <w:rFonts w:hint="eastAsia" w:ascii="仿宋" w:hAnsi="仿宋" w:eastAsia="仿宋"/>
          <w:sz w:val="36"/>
          <w:szCs w:val="36"/>
        </w:rPr>
        <w:t>颗粒</w:t>
      </w:r>
      <w:r>
        <w:rPr>
          <w:rFonts w:ascii="仿宋" w:hAnsi="仿宋" w:eastAsia="仿宋"/>
          <w:sz w:val="36"/>
          <w:szCs w:val="36"/>
        </w:rPr>
        <w:t>学会</w:t>
      </w:r>
      <w:r>
        <w:rPr>
          <w:rFonts w:hint="eastAsia" w:ascii="仿宋" w:hAnsi="仿宋" w:eastAsia="仿宋"/>
          <w:sz w:val="36"/>
          <w:szCs w:val="36"/>
        </w:rPr>
        <w:t>科学技术</w:t>
      </w:r>
      <w:r>
        <w:rPr>
          <w:rFonts w:ascii="仿宋" w:hAnsi="仿宋" w:eastAsia="仿宋"/>
          <w:sz w:val="36"/>
          <w:szCs w:val="36"/>
        </w:rPr>
        <w:t>奖</w:t>
      </w:r>
      <w:r>
        <w:rPr>
          <w:rFonts w:hint="eastAsia" w:ascii="仿宋" w:hAnsi="仿宋" w:eastAsia="仿宋"/>
          <w:sz w:val="36"/>
          <w:szCs w:val="36"/>
        </w:rPr>
        <w:t>管理</w:t>
      </w:r>
      <w:r>
        <w:rPr>
          <w:rFonts w:ascii="仿宋" w:hAnsi="仿宋" w:eastAsia="仿宋"/>
          <w:sz w:val="36"/>
          <w:szCs w:val="36"/>
        </w:rPr>
        <w:t>办法</w:t>
      </w:r>
    </w:p>
    <w:p>
      <w:pPr>
        <w:tabs>
          <w:tab w:val="left" w:pos="0"/>
        </w:tabs>
        <w:spacing w:before="360" w:line="420" w:lineRule="exact"/>
        <w:jc w:val="center"/>
        <w:rPr>
          <w:rFonts w:ascii="仿宋" w:hAnsi="仿宋" w:eastAsia="仿宋" w:cs="Times New Roman"/>
          <w:b/>
          <w:sz w:val="28"/>
          <w:szCs w:val="20"/>
        </w:rPr>
      </w:pPr>
      <w:r>
        <w:rPr>
          <w:rFonts w:hint="eastAsia" w:ascii="仿宋" w:hAnsi="仿宋" w:eastAsia="仿宋" w:cs="Times New Roman"/>
          <w:b/>
          <w:sz w:val="28"/>
          <w:szCs w:val="20"/>
        </w:rPr>
        <w:t>第一章</w:t>
      </w:r>
      <w:r>
        <w:rPr>
          <w:rFonts w:ascii="仿宋" w:hAnsi="仿宋" w:eastAsia="仿宋" w:cs="Times New Roman"/>
          <w:b/>
          <w:sz w:val="28"/>
          <w:szCs w:val="20"/>
        </w:rPr>
        <w:tab/>
      </w:r>
      <w:r>
        <w:rPr>
          <w:rFonts w:ascii="仿宋" w:hAnsi="仿宋" w:eastAsia="仿宋" w:cs="Times New Roman"/>
          <w:b/>
          <w:sz w:val="28"/>
          <w:szCs w:val="20"/>
        </w:rPr>
        <w:t>总则</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为推动中国颗粒学及其相关学科发展和科技进步，调动颗粒学及其相关领域科技工作者的积极性和创造性，服务国家创新体系建设，根据《中国颗粒学会颗粒学奖章程（修订）》，中国颗粒学会在中国颗粒学会颗粒学奖中设立</w:t>
      </w:r>
      <w:r>
        <w:rPr>
          <w:rFonts w:ascii="仿宋" w:hAnsi="仿宋" w:eastAsia="仿宋" w:cs="Times New Roman"/>
          <w:sz w:val="24"/>
          <w:szCs w:val="20"/>
        </w:rPr>
        <w:t>“</w:t>
      </w:r>
      <w:r>
        <w:rPr>
          <w:rFonts w:hint="eastAsia" w:ascii="仿宋" w:hAnsi="仿宋" w:eastAsia="仿宋" w:cs="Times New Roman"/>
          <w:sz w:val="24"/>
          <w:szCs w:val="20"/>
        </w:rPr>
        <w:t>中国颗粒学会科学技术奖</w:t>
      </w:r>
      <w:r>
        <w:rPr>
          <w:rFonts w:ascii="仿宋" w:hAnsi="仿宋" w:eastAsia="仿宋" w:cs="Times New Roman"/>
          <w:sz w:val="24"/>
          <w:szCs w:val="20"/>
        </w:rPr>
        <w:t>”</w:t>
      </w:r>
      <w:r>
        <w:rPr>
          <w:rFonts w:hint="eastAsia" w:ascii="仿宋" w:hAnsi="仿宋" w:eastAsia="仿宋" w:cs="Times New Roman"/>
          <w:sz w:val="24"/>
          <w:szCs w:val="20"/>
        </w:rPr>
        <w:t>，以下简称本奖项。</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本奖项的申报、评审和授奖，实行公开、公平、公正的原则，不受任何组织或个人的干涉。</w:t>
      </w:r>
    </w:p>
    <w:p>
      <w:pPr>
        <w:numPr>
          <w:ilvl w:val="0"/>
          <w:numId w:val="1"/>
        </w:numPr>
        <w:tabs>
          <w:tab w:val="left" w:pos="960"/>
        </w:tabs>
        <w:spacing w:beforeLines="50" w:line="420" w:lineRule="exact"/>
        <w:ind w:left="960" w:hanging="960"/>
        <w:rPr>
          <w:rFonts w:ascii="宋体" w:hAnsi="宋体" w:eastAsia="宋体" w:cs="宋体"/>
          <w:kern w:val="0"/>
          <w:sz w:val="24"/>
          <w:szCs w:val="24"/>
        </w:rPr>
      </w:pPr>
      <w:r>
        <w:rPr>
          <w:rFonts w:hint="eastAsia" w:ascii="仿宋" w:hAnsi="仿宋" w:eastAsia="仿宋" w:cs="Times New Roman"/>
          <w:sz w:val="24"/>
          <w:szCs w:val="20"/>
        </w:rPr>
        <w:t>学会奖励工作委员会整体负责本奖项的评审工作。</w:t>
      </w:r>
    </w:p>
    <w:p>
      <w:pPr>
        <w:tabs>
          <w:tab w:val="left" w:pos="0"/>
        </w:tabs>
        <w:spacing w:before="360" w:line="420" w:lineRule="exact"/>
        <w:jc w:val="center"/>
        <w:rPr>
          <w:rFonts w:ascii="仿宋" w:hAnsi="仿宋" w:eastAsia="仿宋" w:cs="Times New Roman"/>
          <w:b/>
          <w:sz w:val="28"/>
          <w:szCs w:val="20"/>
        </w:rPr>
      </w:pPr>
      <w:r>
        <w:rPr>
          <w:rFonts w:ascii="仿宋" w:hAnsi="仿宋" w:eastAsia="仿宋" w:cs="Times New Roman"/>
          <w:b/>
          <w:sz w:val="28"/>
          <w:szCs w:val="20"/>
        </w:rPr>
        <w:t>第二章</w:t>
      </w:r>
      <w:r>
        <w:rPr>
          <w:rFonts w:ascii="仿宋" w:hAnsi="仿宋" w:eastAsia="仿宋" w:cs="Times New Roman"/>
          <w:b/>
          <w:sz w:val="28"/>
          <w:szCs w:val="20"/>
        </w:rPr>
        <w:tab/>
      </w:r>
      <w:r>
        <w:rPr>
          <w:rFonts w:ascii="仿宋" w:hAnsi="仿宋" w:eastAsia="仿宋" w:cs="Times New Roman"/>
          <w:b/>
          <w:sz w:val="28"/>
          <w:szCs w:val="20"/>
        </w:rPr>
        <w:t>奖</w:t>
      </w:r>
      <w:r>
        <w:rPr>
          <w:rFonts w:hint="eastAsia" w:ascii="仿宋" w:hAnsi="仿宋" w:eastAsia="仿宋" w:cs="Times New Roman"/>
          <w:b/>
          <w:sz w:val="28"/>
          <w:szCs w:val="20"/>
        </w:rPr>
        <w:t>项</w:t>
      </w:r>
      <w:r>
        <w:rPr>
          <w:rFonts w:ascii="仿宋" w:hAnsi="仿宋" w:eastAsia="仿宋" w:cs="Times New Roman"/>
          <w:b/>
          <w:sz w:val="28"/>
          <w:szCs w:val="20"/>
        </w:rPr>
        <w:t>设置和</w:t>
      </w:r>
      <w:r>
        <w:rPr>
          <w:rFonts w:hint="eastAsia" w:ascii="仿宋" w:hAnsi="仿宋" w:eastAsia="仿宋" w:cs="Times New Roman"/>
          <w:b/>
          <w:sz w:val="28"/>
          <w:szCs w:val="20"/>
        </w:rPr>
        <w:t>申报条件</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本奖项包含“中国颗粒学会自然科学奖”、“中国颗粒学会技术发明奖”和“中国颗粒学会科技进步奖”，以下分别简称为“自然科学奖”、“技术发明奖”和“科技进步奖”。</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本奖项</w:t>
      </w:r>
      <w:r>
        <w:rPr>
          <w:rFonts w:ascii="仿宋" w:hAnsi="仿宋" w:eastAsia="仿宋" w:cs="Times New Roman"/>
          <w:sz w:val="24"/>
          <w:szCs w:val="20"/>
        </w:rPr>
        <w:t>奖励范围：</w:t>
      </w:r>
    </w:p>
    <w:p>
      <w:pPr>
        <w:pStyle w:val="13"/>
        <w:widowControl/>
        <w:numPr>
          <w:ilvl w:val="0"/>
          <w:numId w:val="2"/>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“自然科学奖”奖励在颗粒学及其相关学科基础研究和应用基础研究中，阐明自然现象、特征和规律，做出重大科学发现，引领学科发展的科技工作者；</w:t>
      </w:r>
    </w:p>
    <w:p>
      <w:pPr>
        <w:pStyle w:val="13"/>
        <w:widowControl/>
        <w:numPr>
          <w:ilvl w:val="0"/>
          <w:numId w:val="2"/>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“技术发明奖”奖励在颗粒学及其相关领域对产品、方法及其改进的技术方案中，做出重大技术发明，取得显著经济效益、社会效益或环境效益的科技工作者；</w:t>
      </w:r>
    </w:p>
    <w:p>
      <w:pPr>
        <w:pStyle w:val="13"/>
        <w:widowControl/>
        <w:numPr>
          <w:ilvl w:val="0"/>
          <w:numId w:val="2"/>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“科技进步奖”奖励在颗粒学及其相关领域的新</w:t>
      </w:r>
      <w:r>
        <w:rPr>
          <w:rFonts w:ascii="仿宋" w:hAnsi="仿宋" w:eastAsia="仿宋" w:cs="宋体"/>
          <w:bCs/>
          <w:kern w:val="0"/>
          <w:sz w:val="24"/>
          <w:szCs w:val="24"/>
        </w:rPr>
        <w:t>产品和新技术开发、应用、</w:t>
      </w:r>
      <w:r>
        <w:fldChar w:fldCharType="begin"/>
      </w:r>
      <w:r>
        <w:instrText xml:space="preserve"> HYPERLINK "https://baike.baidu.com/item/%E9%AB%98%E6%96%B0%E6%8A%80%E6%9C%AF%E4%BA%A7%E4%B8%9A%E5%8C%96/12764735" \t "_blank" </w:instrText>
      </w:r>
      <w:r>
        <w:fldChar w:fldCharType="separate"/>
      </w:r>
      <w:r>
        <w:rPr>
          <w:rFonts w:ascii="仿宋" w:hAnsi="仿宋" w:eastAsia="仿宋" w:cs="宋体"/>
          <w:bCs/>
          <w:kern w:val="0"/>
          <w:sz w:val="24"/>
          <w:szCs w:val="24"/>
        </w:rPr>
        <w:t>产业化</w:t>
      </w:r>
      <w:r>
        <w:rPr>
          <w:rFonts w:ascii="仿宋" w:hAnsi="仿宋" w:eastAsia="仿宋" w:cs="宋体"/>
          <w:bCs/>
          <w:kern w:val="0"/>
          <w:sz w:val="24"/>
          <w:szCs w:val="24"/>
        </w:rPr>
        <w:fldChar w:fldCharType="end"/>
      </w:r>
      <w:r>
        <w:rPr>
          <w:rFonts w:ascii="仿宋" w:hAnsi="仿宋" w:eastAsia="仿宋" w:cs="宋体"/>
          <w:bCs/>
          <w:kern w:val="0"/>
          <w:sz w:val="24"/>
          <w:szCs w:val="24"/>
        </w:rPr>
        <w:t>、技术改造及技术进步、技术基础和重大工程建设</w:t>
      </w:r>
      <w:r>
        <w:rPr>
          <w:rFonts w:hint="eastAsia" w:ascii="仿宋" w:hAnsi="仿宋" w:eastAsia="仿宋" w:cs="宋体"/>
          <w:bCs/>
          <w:kern w:val="0"/>
          <w:sz w:val="24"/>
          <w:szCs w:val="24"/>
        </w:rPr>
        <w:t>中实现重大科技创新或科技成果转化，对国民经济或国防建设做出突出贡献的科技工作者。</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 xml:space="preserve"> “自然科学奖”申报条件：</w:t>
      </w:r>
    </w:p>
    <w:p>
      <w:pPr>
        <w:pStyle w:val="13"/>
        <w:widowControl/>
        <w:numPr>
          <w:ilvl w:val="0"/>
          <w:numId w:val="3"/>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在颗粒学及其相关领域的自然科学研究中做出突破性的贡献，并建立系统的学术思想或知识体系；</w:t>
      </w:r>
    </w:p>
    <w:p>
      <w:pPr>
        <w:pStyle w:val="13"/>
        <w:widowControl/>
        <w:numPr>
          <w:ilvl w:val="0"/>
          <w:numId w:val="3"/>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取得关键性学术突破或国际领先学术成果，具有卓越建树，推动本学科或相关学科发展；</w:t>
      </w:r>
    </w:p>
    <w:p>
      <w:pPr>
        <w:pStyle w:val="13"/>
        <w:widowControl/>
        <w:numPr>
          <w:ilvl w:val="0"/>
          <w:numId w:val="3"/>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已在重要学术刊物或学术专著中发表或出版1年以上，已被国际同行在重要学术会议、学术刊物以及学术专著中正面评价或引用。</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“技术发明奖”申报条件：</w:t>
      </w:r>
    </w:p>
    <w:p>
      <w:pPr>
        <w:pStyle w:val="13"/>
        <w:widowControl/>
        <w:numPr>
          <w:ilvl w:val="0"/>
          <w:numId w:val="4"/>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不属现有技术，国内外首创，主要技术内容之前</w:t>
      </w:r>
      <w:r>
        <w:rPr>
          <w:rFonts w:ascii="仿宋" w:hAnsi="仿宋" w:eastAsia="仿宋" w:cs="宋体"/>
          <w:bCs/>
          <w:kern w:val="0"/>
          <w:sz w:val="24"/>
          <w:szCs w:val="24"/>
        </w:rPr>
        <w:t>在国内外出版物上</w:t>
      </w:r>
      <w:r>
        <w:rPr>
          <w:rFonts w:hint="eastAsia" w:ascii="仿宋" w:hAnsi="仿宋" w:eastAsia="仿宋" w:cs="宋体"/>
          <w:bCs/>
          <w:kern w:val="0"/>
          <w:sz w:val="24"/>
          <w:szCs w:val="24"/>
        </w:rPr>
        <w:t>未</w:t>
      </w:r>
      <w:r>
        <w:rPr>
          <w:rFonts w:ascii="仿宋" w:hAnsi="仿宋" w:eastAsia="仿宋" w:cs="宋体"/>
          <w:bCs/>
          <w:kern w:val="0"/>
          <w:sz w:val="24"/>
          <w:szCs w:val="24"/>
        </w:rPr>
        <w:t>公开发表、公开使用或者以其他方式为公众所知；</w:t>
      </w:r>
    </w:p>
    <w:p>
      <w:pPr>
        <w:pStyle w:val="13"/>
        <w:widowControl/>
        <w:numPr>
          <w:ilvl w:val="0"/>
          <w:numId w:val="4"/>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技术方案和效果优于现有技术，具有卓越的实质性特征和显著进步，具有系统或突出创造性，对产业具有巨大促进作用</w:t>
      </w:r>
      <w:r>
        <w:rPr>
          <w:rFonts w:ascii="仿宋" w:hAnsi="仿宋" w:eastAsia="仿宋" w:cs="宋体"/>
          <w:bCs/>
          <w:kern w:val="0"/>
          <w:sz w:val="24"/>
          <w:szCs w:val="24"/>
        </w:rPr>
        <w:t>；</w:t>
      </w:r>
    </w:p>
    <w:p>
      <w:pPr>
        <w:pStyle w:val="13"/>
        <w:widowControl/>
        <w:numPr>
          <w:ilvl w:val="0"/>
          <w:numId w:val="4"/>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技术方案实施1年以上</w:t>
      </w:r>
      <w:r>
        <w:rPr>
          <w:rFonts w:ascii="仿宋" w:hAnsi="仿宋" w:eastAsia="仿宋" w:cs="宋体"/>
          <w:bCs/>
          <w:kern w:val="0"/>
          <w:sz w:val="24"/>
          <w:szCs w:val="24"/>
        </w:rPr>
        <w:t>，</w:t>
      </w:r>
      <w:r>
        <w:rPr>
          <w:rFonts w:hint="eastAsia" w:ascii="仿宋" w:hAnsi="仿宋" w:eastAsia="仿宋" w:cs="宋体"/>
          <w:bCs/>
          <w:kern w:val="0"/>
          <w:sz w:val="24"/>
          <w:szCs w:val="24"/>
        </w:rPr>
        <w:t>取得</w:t>
      </w:r>
      <w:r>
        <w:rPr>
          <w:rFonts w:ascii="仿宋" w:hAnsi="仿宋" w:eastAsia="仿宋" w:cs="宋体"/>
          <w:bCs/>
          <w:kern w:val="0"/>
          <w:sz w:val="24"/>
          <w:szCs w:val="24"/>
        </w:rPr>
        <w:t>显著经济效益、社会效益</w:t>
      </w:r>
      <w:r>
        <w:rPr>
          <w:rFonts w:hint="eastAsia" w:ascii="仿宋" w:hAnsi="仿宋" w:eastAsia="仿宋" w:cs="宋体"/>
          <w:bCs/>
          <w:kern w:val="0"/>
          <w:sz w:val="24"/>
          <w:szCs w:val="24"/>
        </w:rPr>
        <w:t>或环境效益</w:t>
      </w:r>
      <w:r>
        <w:rPr>
          <w:rFonts w:ascii="仿宋" w:hAnsi="仿宋" w:eastAsia="仿宋" w:cs="宋体"/>
          <w:bCs/>
          <w:kern w:val="0"/>
          <w:sz w:val="24"/>
          <w:szCs w:val="24"/>
        </w:rPr>
        <w:t>；</w:t>
      </w:r>
    </w:p>
    <w:p>
      <w:pPr>
        <w:pStyle w:val="13"/>
        <w:widowControl/>
        <w:numPr>
          <w:ilvl w:val="0"/>
          <w:numId w:val="4"/>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技术成果</w:t>
      </w:r>
      <w:r>
        <w:rPr>
          <w:rFonts w:ascii="仿宋" w:hAnsi="仿宋" w:eastAsia="仿宋" w:cs="宋体"/>
          <w:bCs/>
          <w:kern w:val="0"/>
          <w:sz w:val="24"/>
          <w:szCs w:val="24"/>
        </w:rPr>
        <w:t>已获得</w:t>
      </w:r>
      <w:r>
        <w:rPr>
          <w:rFonts w:hint="eastAsia" w:ascii="仿宋" w:hAnsi="仿宋" w:eastAsia="仿宋" w:cs="宋体"/>
          <w:bCs/>
          <w:kern w:val="0"/>
          <w:sz w:val="24"/>
          <w:szCs w:val="24"/>
        </w:rPr>
        <w:t>中国知识产权或建立知识产权库</w:t>
      </w:r>
      <w:r>
        <w:rPr>
          <w:rFonts w:ascii="仿宋" w:hAnsi="仿宋" w:eastAsia="仿宋" w:cs="宋体"/>
          <w:bCs/>
          <w:kern w:val="0"/>
          <w:sz w:val="24"/>
          <w:szCs w:val="24"/>
        </w:rPr>
        <w:t>。</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“科技进步奖”申报条件：</w:t>
      </w:r>
    </w:p>
    <w:p>
      <w:pPr>
        <w:pStyle w:val="13"/>
        <w:widowControl/>
        <w:numPr>
          <w:ilvl w:val="0"/>
          <w:numId w:val="5"/>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开发、应用</w:t>
      </w:r>
      <w:r>
        <w:rPr>
          <w:rFonts w:ascii="仿宋" w:hAnsi="仿宋" w:eastAsia="仿宋" w:cs="宋体"/>
          <w:bCs/>
          <w:kern w:val="0"/>
          <w:sz w:val="24"/>
          <w:szCs w:val="24"/>
        </w:rPr>
        <w:t>国内首创、本行业先进</w:t>
      </w:r>
      <w:r>
        <w:rPr>
          <w:rFonts w:hint="eastAsia" w:ascii="仿宋" w:hAnsi="仿宋" w:eastAsia="仿宋" w:cs="宋体"/>
          <w:bCs/>
          <w:kern w:val="0"/>
          <w:sz w:val="24"/>
          <w:szCs w:val="24"/>
        </w:rPr>
        <w:t>的新科技成果，已显著促进领域发展</w:t>
      </w:r>
      <w:r>
        <w:rPr>
          <w:rFonts w:ascii="仿宋" w:hAnsi="仿宋" w:eastAsia="仿宋" w:cs="宋体"/>
          <w:bCs/>
          <w:kern w:val="0"/>
          <w:sz w:val="24"/>
          <w:szCs w:val="24"/>
        </w:rPr>
        <w:t>；</w:t>
      </w:r>
      <w:r>
        <w:rPr>
          <w:rFonts w:hint="eastAsia" w:ascii="仿宋" w:hAnsi="仿宋" w:eastAsia="仿宋" w:cs="宋体"/>
          <w:bCs/>
          <w:kern w:val="0"/>
          <w:sz w:val="24"/>
          <w:szCs w:val="24"/>
        </w:rPr>
        <w:t>或</w:t>
      </w:r>
      <w:r>
        <w:rPr>
          <w:rFonts w:ascii="仿宋" w:hAnsi="仿宋" w:eastAsia="仿宋" w:cs="宋体"/>
          <w:bCs/>
          <w:kern w:val="0"/>
          <w:sz w:val="24"/>
          <w:szCs w:val="24"/>
        </w:rPr>
        <w:t>推广、转让、应用</w:t>
      </w:r>
      <w:r>
        <w:rPr>
          <w:rFonts w:hint="eastAsia" w:ascii="仿宋" w:hAnsi="仿宋" w:eastAsia="仿宋" w:cs="宋体"/>
          <w:bCs/>
          <w:kern w:val="0"/>
          <w:sz w:val="24"/>
          <w:szCs w:val="24"/>
        </w:rPr>
        <w:t>先进</w:t>
      </w:r>
      <w:r>
        <w:rPr>
          <w:rFonts w:ascii="仿宋" w:hAnsi="仿宋" w:eastAsia="仿宋" w:cs="宋体"/>
          <w:bCs/>
          <w:kern w:val="0"/>
          <w:sz w:val="24"/>
          <w:szCs w:val="24"/>
        </w:rPr>
        <w:t>的科学技术成果，</w:t>
      </w:r>
      <w:r>
        <w:rPr>
          <w:rFonts w:hint="eastAsia" w:ascii="仿宋" w:hAnsi="仿宋" w:eastAsia="仿宋" w:cs="宋体"/>
          <w:bCs/>
          <w:kern w:val="0"/>
          <w:sz w:val="24"/>
          <w:szCs w:val="24"/>
        </w:rPr>
        <w:t>已显著促进产业进步</w:t>
      </w:r>
      <w:r>
        <w:rPr>
          <w:rFonts w:ascii="仿宋" w:hAnsi="仿宋" w:eastAsia="仿宋" w:cs="宋体"/>
          <w:bCs/>
          <w:kern w:val="0"/>
          <w:sz w:val="24"/>
          <w:szCs w:val="24"/>
        </w:rPr>
        <w:t>；</w:t>
      </w:r>
      <w:r>
        <w:rPr>
          <w:rFonts w:hint="eastAsia" w:ascii="仿宋" w:hAnsi="仿宋" w:eastAsia="仿宋" w:cs="宋体"/>
          <w:bCs/>
          <w:kern w:val="0"/>
          <w:sz w:val="24"/>
          <w:szCs w:val="24"/>
        </w:rPr>
        <w:t>或</w:t>
      </w:r>
      <w:r>
        <w:rPr>
          <w:rFonts w:ascii="仿宋" w:hAnsi="仿宋" w:eastAsia="仿宋" w:cs="宋体"/>
          <w:bCs/>
          <w:kern w:val="0"/>
          <w:sz w:val="24"/>
          <w:szCs w:val="24"/>
        </w:rPr>
        <w:t>采用新技术在重大工程建设、重大设备研制和企业技术改造中，</w:t>
      </w:r>
      <w:r>
        <w:rPr>
          <w:rFonts w:hint="eastAsia" w:ascii="仿宋" w:hAnsi="仿宋" w:eastAsia="仿宋" w:cs="宋体"/>
          <w:bCs/>
          <w:kern w:val="0"/>
          <w:sz w:val="24"/>
          <w:szCs w:val="24"/>
        </w:rPr>
        <w:t>已显著促进行业升级</w:t>
      </w:r>
      <w:r>
        <w:rPr>
          <w:rFonts w:ascii="仿宋" w:hAnsi="仿宋" w:eastAsia="仿宋" w:cs="宋体"/>
          <w:bCs/>
          <w:kern w:val="0"/>
          <w:sz w:val="24"/>
          <w:szCs w:val="24"/>
        </w:rPr>
        <w:t>；</w:t>
      </w:r>
    </w:p>
    <w:p>
      <w:pPr>
        <w:pStyle w:val="13"/>
        <w:widowControl/>
        <w:numPr>
          <w:ilvl w:val="0"/>
          <w:numId w:val="5"/>
        </w:numPr>
        <w:spacing w:line="360" w:lineRule="auto"/>
        <w:ind w:firstLineChars="0"/>
        <w:rPr>
          <w:rFonts w:hint="eastAsia" w:ascii="仿宋" w:hAnsi="仿宋" w:eastAsia="仿宋" w:cs="宋体"/>
          <w:bCs/>
          <w:kern w:val="0"/>
          <w:sz w:val="24"/>
          <w:szCs w:val="24"/>
        </w:rPr>
      </w:pPr>
      <w:r>
        <w:rPr>
          <w:rFonts w:ascii="仿宋" w:hAnsi="仿宋" w:eastAsia="仿宋" w:cs="宋体"/>
          <w:bCs/>
          <w:kern w:val="0"/>
          <w:sz w:val="24"/>
          <w:szCs w:val="24"/>
        </w:rPr>
        <w:t>经过实践证明1</w:t>
      </w:r>
      <w:r>
        <w:rPr>
          <w:rFonts w:hint="eastAsia" w:ascii="仿宋" w:hAnsi="仿宋" w:eastAsia="仿宋" w:cs="宋体"/>
          <w:bCs/>
          <w:kern w:val="0"/>
          <w:sz w:val="24"/>
          <w:szCs w:val="24"/>
        </w:rPr>
        <w:t>年以上，取得</w:t>
      </w:r>
      <w:r>
        <w:rPr>
          <w:rFonts w:ascii="仿宋" w:hAnsi="仿宋" w:eastAsia="仿宋" w:cs="宋体"/>
          <w:bCs/>
          <w:kern w:val="0"/>
          <w:sz w:val="24"/>
          <w:szCs w:val="24"/>
        </w:rPr>
        <w:t>显著经济效益、社会效益</w:t>
      </w:r>
      <w:r>
        <w:rPr>
          <w:rFonts w:hint="eastAsia" w:ascii="仿宋" w:hAnsi="仿宋" w:eastAsia="仿宋" w:cs="宋体"/>
          <w:bCs/>
          <w:kern w:val="0"/>
          <w:sz w:val="24"/>
          <w:szCs w:val="24"/>
        </w:rPr>
        <w:t>、环境效益或显著推动了行业科技进步。</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本奖项面向学会全体会员，获奖者由学会统一颁发奖牌、证书。</w:t>
      </w:r>
    </w:p>
    <w:p>
      <w:pPr>
        <w:tabs>
          <w:tab w:val="left" w:pos="0"/>
        </w:tabs>
        <w:spacing w:before="360" w:line="420" w:lineRule="exact"/>
        <w:jc w:val="center"/>
        <w:rPr>
          <w:rFonts w:ascii="仿宋" w:hAnsi="仿宋" w:eastAsia="仿宋" w:cs="Times New Roman"/>
          <w:b/>
          <w:sz w:val="28"/>
          <w:szCs w:val="20"/>
        </w:rPr>
      </w:pPr>
      <w:r>
        <w:rPr>
          <w:rFonts w:ascii="仿宋" w:hAnsi="仿宋" w:eastAsia="仿宋" w:cs="Times New Roman"/>
          <w:b/>
          <w:sz w:val="28"/>
          <w:szCs w:val="20"/>
        </w:rPr>
        <w:t>第</w:t>
      </w:r>
      <w:r>
        <w:rPr>
          <w:rFonts w:hint="eastAsia" w:ascii="仿宋" w:hAnsi="仿宋" w:eastAsia="仿宋" w:cs="Times New Roman"/>
          <w:b/>
          <w:sz w:val="28"/>
          <w:szCs w:val="20"/>
        </w:rPr>
        <w:t>三</w:t>
      </w:r>
      <w:r>
        <w:rPr>
          <w:rFonts w:ascii="仿宋" w:hAnsi="仿宋" w:eastAsia="仿宋" w:cs="Times New Roman"/>
          <w:b/>
          <w:sz w:val="28"/>
          <w:szCs w:val="20"/>
        </w:rPr>
        <w:t>章</w:t>
      </w:r>
      <w:r>
        <w:rPr>
          <w:rFonts w:ascii="仿宋" w:hAnsi="仿宋" w:eastAsia="仿宋" w:cs="Times New Roman"/>
          <w:b/>
          <w:sz w:val="28"/>
          <w:szCs w:val="20"/>
        </w:rPr>
        <w:tab/>
      </w:r>
      <w:r>
        <w:rPr>
          <w:rFonts w:hint="eastAsia" w:ascii="仿宋" w:hAnsi="仿宋" w:eastAsia="仿宋" w:cs="Times New Roman"/>
          <w:b/>
          <w:sz w:val="28"/>
          <w:szCs w:val="20"/>
        </w:rPr>
        <w:t>推荐</w:t>
      </w:r>
      <w:r>
        <w:rPr>
          <w:rFonts w:ascii="仿宋" w:hAnsi="仿宋" w:eastAsia="仿宋" w:cs="Times New Roman"/>
          <w:b/>
          <w:sz w:val="28"/>
          <w:szCs w:val="20"/>
        </w:rPr>
        <w:t>渠道</w:t>
      </w:r>
      <w:r>
        <w:rPr>
          <w:rFonts w:hint="eastAsia" w:ascii="仿宋" w:hAnsi="仿宋" w:eastAsia="仿宋" w:cs="Times New Roman"/>
          <w:b/>
          <w:sz w:val="28"/>
          <w:szCs w:val="20"/>
        </w:rPr>
        <w:t>和</w:t>
      </w:r>
      <w:r>
        <w:rPr>
          <w:rFonts w:ascii="仿宋" w:hAnsi="仿宋" w:eastAsia="仿宋" w:cs="Times New Roman"/>
          <w:b/>
          <w:sz w:val="28"/>
          <w:szCs w:val="20"/>
        </w:rPr>
        <w:t>申报</w:t>
      </w:r>
      <w:r>
        <w:rPr>
          <w:rFonts w:hint="eastAsia" w:ascii="仿宋" w:hAnsi="仿宋" w:eastAsia="仿宋" w:cs="Times New Roman"/>
          <w:b/>
          <w:sz w:val="28"/>
          <w:szCs w:val="20"/>
        </w:rPr>
        <w:t>流程</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本奖项推荐渠道：</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w:t>
      </w:r>
      <w:r>
        <w:rPr>
          <w:rFonts w:ascii="仿宋" w:hAnsi="仿宋" w:eastAsia="仿宋" w:cs="宋体"/>
          <w:bCs/>
          <w:kern w:val="0"/>
          <w:sz w:val="24"/>
          <w:szCs w:val="24"/>
        </w:rPr>
        <w:t>所属分支机构：专业委员会/工作委员会/工作组；</w:t>
      </w:r>
      <w:r>
        <w:rPr>
          <w:rFonts w:ascii="Calibri" w:hAnsi="Calibri" w:eastAsia="仿宋" w:cs="Calibri"/>
          <w:bCs/>
          <w:kern w:val="0"/>
          <w:sz w:val="24"/>
          <w:szCs w:val="24"/>
        </w:rPr>
        <w:t> </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各省</w:t>
      </w:r>
      <w:r>
        <w:rPr>
          <w:rFonts w:ascii="仿宋" w:hAnsi="仿宋" w:eastAsia="仿宋" w:cs="宋体"/>
          <w:bCs/>
          <w:kern w:val="0"/>
          <w:sz w:val="24"/>
          <w:szCs w:val="24"/>
        </w:rPr>
        <w:t>/自治区/直辖市颗粒学会；</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颗粒学相关领域的学会/协会等；</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学会团体会员单位；</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颗粒学及相关专业领域两院院士；</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学会理事；</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学会专家委员会委员；</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本奖项历届获奖者。</w:t>
      </w:r>
    </w:p>
    <w:p>
      <w:pPr>
        <w:widowControl/>
        <w:spacing w:line="360" w:lineRule="auto"/>
        <w:ind w:left="850"/>
        <w:rPr>
          <w:rFonts w:ascii="仿宋" w:hAnsi="仿宋" w:eastAsia="仿宋" w:cs="宋体"/>
          <w:kern w:val="0"/>
          <w:sz w:val="24"/>
          <w:szCs w:val="24"/>
        </w:rPr>
      </w:pPr>
      <w:r>
        <w:rPr>
          <w:rFonts w:hint="eastAsia" w:ascii="仿宋" w:hAnsi="仿宋" w:eastAsia="仿宋" w:cs="宋体"/>
          <w:kern w:val="0"/>
          <w:sz w:val="24"/>
          <w:szCs w:val="24"/>
        </w:rPr>
        <w:t>本奖项需由1个团体推荐或2个个人推荐方可申报。</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本奖项申报流程：</w:t>
      </w:r>
    </w:p>
    <w:p>
      <w:pPr>
        <w:pStyle w:val="13"/>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本奖项申报团队和个人需要提供完整申报材料，才能申报本奖励；</w:t>
      </w:r>
    </w:p>
    <w:p>
      <w:pPr>
        <w:pStyle w:val="13"/>
        <w:widowControl/>
        <w:numPr>
          <w:ilvl w:val="0"/>
          <w:numId w:val="7"/>
        </w:numPr>
        <w:spacing w:line="360" w:lineRule="auto"/>
        <w:ind w:firstLineChars="0"/>
        <w:rPr>
          <w:rFonts w:ascii="仿宋" w:hAnsi="仿宋" w:eastAsia="仿宋" w:cs="宋体"/>
          <w:bCs/>
          <w:kern w:val="0"/>
          <w:sz w:val="24"/>
          <w:szCs w:val="24"/>
        </w:rPr>
      </w:pPr>
      <w:r>
        <w:rPr>
          <w:rFonts w:ascii="仿宋" w:hAnsi="仿宋" w:eastAsia="仿宋" w:cs="宋体"/>
          <w:bCs/>
          <w:kern w:val="0"/>
          <w:sz w:val="24"/>
          <w:szCs w:val="24"/>
        </w:rPr>
        <w:t>申报材料包括《中国颗粒学会颗粒学奖推荐</w:t>
      </w:r>
      <w:r>
        <w:rPr>
          <w:rFonts w:hint="eastAsia" w:ascii="仿宋" w:hAnsi="仿宋" w:eastAsia="仿宋" w:cs="宋体"/>
          <w:bCs/>
          <w:kern w:val="0"/>
          <w:sz w:val="24"/>
          <w:szCs w:val="24"/>
        </w:rPr>
        <w:t>书》和《中国颗粒学会颗粒学奖申报书》及相关支撑材料的电子版和纸质版；</w:t>
      </w:r>
    </w:p>
    <w:p>
      <w:pPr>
        <w:pStyle w:val="13"/>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申报材料通过学会奖励系统提交</w:t>
      </w:r>
      <w:r>
        <w:rPr>
          <w:rFonts w:hint="eastAsia" w:ascii="仿宋" w:hAnsi="仿宋" w:eastAsia="仿宋" w:cs="宋体"/>
          <w:bCs/>
          <w:kern w:val="0"/>
          <w:sz w:val="24"/>
          <w:szCs w:val="24"/>
          <w:lang w:eastAsia="zh-CN"/>
        </w:rPr>
        <w:t>，</w:t>
      </w:r>
      <w:r>
        <w:rPr>
          <w:rFonts w:hint="eastAsia" w:ascii="仿宋" w:hAnsi="仿宋" w:eastAsia="仿宋" w:cs="宋体"/>
          <w:bCs/>
          <w:kern w:val="0"/>
          <w:sz w:val="24"/>
          <w:szCs w:val="24"/>
        </w:rPr>
        <w:t>并</w:t>
      </w:r>
      <w:r>
        <w:rPr>
          <w:rFonts w:hint="eastAsia" w:ascii="仿宋" w:hAnsi="仿宋" w:eastAsia="仿宋" w:cs="宋体"/>
          <w:bCs/>
          <w:kern w:val="0"/>
          <w:sz w:val="24"/>
          <w:szCs w:val="24"/>
          <w:lang w:val="en-US" w:eastAsia="zh-CN"/>
        </w:rPr>
        <w:t>参照系统说明报送纸</w:t>
      </w:r>
      <w:r>
        <w:rPr>
          <w:rFonts w:ascii="仿宋" w:hAnsi="仿宋" w:eastAsia="仿宋" w:cs="宋体"/>
          <w:bCs/>
          <w:kern w:val="0"/>
          <w:sz w:val="24"/>
          <w:szCs w:val="24"/>
        </w:rPr>
        <w:t>质原件</w:t>
      </w:r>
      <w:r>
        <w:rPr>
          <w:rFonts w:hint="eastAsia" w:ascii="仿宋" w:hAnsi="仿宋" w:eastAsia="仿宋" w:cs="宋体"/>
          <w:bCs/>
          <w:kern w:val="0"/>
          <w:sz w:val="24"/>
          <w:szCs w:val="24"/>
        </w:rPr>
        <w:t>；</w:t>
      </w:r>
    </w:p>
    <w:p>
      <w:pPr>
        <w:pStyle w:val="13"/>
        <w:widowControl/>
        <w:numPr>
          <w:ilvl w:val="0"/>
          <w:numId w:val="7"/>
        </w:numPr>
        <w:spacing w:line="360" w:lineRule="auto"/>
        <w:ind w:firstLineChars="0"/>
        <w:rPr>
          <w:rFonts w:ascii="仿宋" w:hAnsi="仿宋" w:eastAsia="仿宋" w:cs="宋体"/>
          <w:bCs/>
          <w:kern w:val="0"/>
          <w:sz w:val="24"/>
          <w:szCs w:val="24"/>
        </w:rPr>
      </w:pPr>
      <w:bookmarkStart w:id="2" w:name="_GoBack"/>
      <w:r>
        <w:rPr>
          <w:rFonts w:hint="eastAsia" w:ascii="仿宋" w:hAnsi="仿宋" w:eastAsia="仿宋" w:cs="宋体"/>
          <w:bCs/>
          <w:kern w:val="0"/>
          <w:sz w:val="24"/>
          <w:szCs w:val="24"/>
        </w:rPr>
        <w:t>申报时间以奖励年度日程公布日期为准。</w:t>
      </w:r>
    </w:p>
    <w:bookmarkEnd w:id="2"/>
    <w:p>
      <w:pPr>
        <w:tabs>
          <w:tab w:val="left" w:pos="0"/>
        </w:tabs>
        <w:spacing w:before="360" w:line="420" w:lineRule="exact"/>
        <w:jc w:val="center"/>
        <w:rPr>
          <w:rFonts w:ascii="仿宋" w:hAnsi="仿宋" w:eastAsia="仿宋" w:cs="Times New Roman"/>
          <w:b/>
          <w:sz w:val="28"/>
          <w:szCs w:val="20"/>
        </w:rPr>
      </w:pPr>
      <w:r>
        <w:rPr>
          <w:rFonts w:ascii="仿宋" w:hAnsi="仿宋" w:eastAsia="仿宋" w:cs="Times New Roman"/>
          <w:b/>
          <w:sz w:val="28"/>
          <w:szCs w:val="20"/>
        </w:rPr>
        <w:t>第</w:t>
      </w:r>
      <w:r>
        <w:rPr>
          <w:rFonts w:hint="eastAsia" w:ascii="仿宋" w:hAnsi="仿宋" w:eastAsia="仿宋" w:cs="Times New Roman"/>
          <w:b/>
          <w:sz w:val="28"/>
          <w:szCs w:val="20"/>
        </w:rPr>
        <w:t>四</w:t>
      </w:r>
      <w:r>
        <w:rPr>
          <w:rFonts w:ascii="仿宋" w:hAnsi="仿宋" w:eastAsia="仿宋" w:cs="Times New Roman"/>
          <w:b/>
          <w:sz w:val="28"/>
          <w:szCs w:val="20"/>
        </w:rPr>
        <w:t>章</w:t>
      </w:r>
      <w:r>
        <w:rPr>
          <w:rFonts w:ascii="仿宋" w:hAnsi="仿宋" w:eastAsia="仿宋" w:cs="Times New Roman"/>
          <w:b/>
          <w:sz w:val="28"/>
          <w:szCs w:val="20"/>
        </w:rPr>
        <w:tab/>
      </w:r>
      <w:r>
        <w:rPr>
          <w:rFonts w:ascii="仿宋" w:hAnsi="仿宋" w:eastAsia="仿宋" w:cs="Times New Roman"/>
          <w:b/>
          <w:sz w:val="28"/>
          <w:szCs w:val="20"/>
        </w:rPr>
        <w:t>评审和授奖</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本奖项每年通过学会官网及相关媒体发布申报通知，在学会官网公示和公布获奖结果，在学会主办的学术活动上颁奖</w:t>
      </w:r>
      <w:r>
        <w:rPr>
          <w:rFonts w:ascii="仿宋" w:hAnsi="仿宋" w:eastAsia="仿宋" w:cs="Times New Roman"/>
          <w:sz w:val="24"/>
          <w:szCs w:val="20"/>
        </w:rPr>
        <w:t>。</w:t>
      </w:r>
    </w:p>
    <w:p>
      <w:pPr>
        <w:numPr>
          <w:ilvl w:val="0"/>
          <w:numId w:val="1"/>
        </w:numPr>
        <w:tabs>
          <w:tab w:val="left" w:pos="960"/>
        </w:tabs>
        <w:spacing w:beforeLines="50" w:line="420" w:lineRule="exact"/>
        <w:ind w:left="960" w:hanging="960"/>
        <w:rPr>
          <w:rFonts w:ascii="仿宋" w:hAnsi="仿宋" w:eastAsia="仿宋" w:cs="Times New Roman"/>
          <w:sz w:val="24"/>
          <w:szCs w:val="20"/>
        </w:rPr>
      </w:pPr>
      <w:bookmarkStart w:id="0" w:name="OLE_LINK1"/>
      <w:r>
        <w:rPr>
          <w:rFonts w:hint="eastAsia" w:ascii="仿宋" w:hAnsi="仿宋" w:eastAsia="仿宋" w:cs="Times New Roman"/>
          <w:sz w:val="24"/>
          <w:szCs w:val="20"/>
        </w:rPr>
        <w:t>本奖项由“函评”及“会评”评选产生获奖人选</w:t>
      </w:r>
      <w:bookmarkEnd w:id="0"/>
      <w:r>
        <w:rPr>
          <w:rFonts w:ascii="仿宋" w:hAnsi="仿宋" w:eastAsia="仿宋" w:cs="Times New Roman"/>
          <w:sz w:val="24"/>
          <w:szCs w:val="20"/>
        </w:rPr>
        <w:t>。</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本奖项每年评选1次。各奖项一、二等奖的奖励比例分别不超过报奖成果的</w:t>
      </w:r>
      <w:r>
        <w:rPr>
          <w:rFonts w:ascii="仿宋" w:hAnsi="仿宋" w:eastAsia="仿宋" w:cs="Times New Roman"/>
          <w:sz w:val="24"/>
          <w:szCs w:val="20"/>
        </w:rPr>
        <w:t>20%</w:t>
      </w:r>
      <w:r>
        <w:rPr>
          <w:rFonts w:hint="eastAsia" w:ascii="仿宋" w:hAnsi="仿宋" w:eastAsia="仿宋" w:cs="Times New Roman"/>
          <w:sz w:val="24"/>
          <w:szCs w:val="20"/>
        </w:rPr>
        <w:t>和</w:t>
      </w:r>
      <w:r>
        <w:rPr>
          <w:rFonts w:ascii="仿宋" w:hAnsi="仿宋" w:eastAsia="仿宋" w:cs="Times New Roman"/>
          <w:sz w:val="24"/>
          <w:szCs w:val="20"/>
        </w:rPr>
        <w:t>30%</w:t>
      </w:r>
      <w:r>
        <w:rPr>
          <w:rFonts w:hint="eastAsia" w:ascii="仿宋" w:hAnsi="仿宋" w:eastAsia="仿宋" w:cs="Times New Roman"/>
          <w:sz w:val="24"/>
          <w:szCs w:val="20"/>
        </w:rPr>
        <w:t>。</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本奖项的评审实行回避制度。各奖项申请者和推荐人不得作为评审委员参加当年该奖项的评审工作。与被推荐项目有利害关系的评审委员应当回避。</w:t>
      </w:r>
    </w:p>
    <w:p>
      <w:pPr>
        <w:numPr>
          <w:ilvl w:val="0"/>
          <w:numId w:val="1"/>
        </w:numPr>
        <w:tabs>
          <w:tab w:val="left" w:pos="960"/>
        </w:tabs>
        <w:spacing w:beforeLines="50" w:line="420" w:lineRule="exact"/>
        <w:ind w:left="960" w:hanging="960"/>
        <w:rPr>
          <w:rFonts w:ascii="仿宋" w:hAnsi="仿宋" w:eastAsia="仿宋" w:cs="Times New Roman"/>
          <w:sz w:val="24"/>
          <w:szCs w:val="20"/>
        </w:rPr>
      </w:pPr>
      <w:bookmarkStart w:id="1" w:name="_Hlk34068530"/>
      <w:r>
        <w:rPr>
          <w:rFonts w:hint="eastAsia" w:ascii="仿宋" w:hAnsi="仿宋" w:eastAsia="仿宋" w:cs="Times New Roman"/>
          <w:sz w:val="24"/>
          <w:szCs w:val="20"/>
        </w:rPr>
        <w:t>不建议已获得国家奖、省部级奖及其它社会奖励的项目申报本奖项。</w:t>
      </w:r>
    </w:p>
    <w:bookmarkEnd w:id="1"/>
    <w:p>
      <w:pPr>
        <w:numPr>
          <w:ilvl w:val="0"/>
          <w:numId w:val="1"/>
        </w:numPr>
        <w:tabs>
          <w:tab w:val="left" w:pos="960"/>
        </w:tabs>
        <w:spacing w:beforeLines="50" w:line="420" w:lineRule="exact"/>
        <w:ind w:left="960" w:hanging="960"/>
        <w:rPr>
          <w:rFonts w:ascii="宋体" w:hAnsi="宋体" w:eastAsia="宋体" w:cs="宋体"/>
          <w:kern w:val="0"/>
          <w:sz w:val="24"/>
          <w:szCs w:val="24"/>
        </w:rPr>
      </w:pPr>
      <w:r>
        <w:rPr>
          <w:rFonts w:hint="eastAsia" w:ascii="仿宋" w:hAnsi="仿宋" w:eastAsia="仿宋" w:cs="Times New Roman"/>
          <w:sz w:val="24"/>
          <w:szCs w:val="20"/>
        </w:rPr>
        <w:t>对学术不端者，经查证属实，将撤销其奖励。处理结果将在学会相关媒体上予以公告</w:t>
      </w:r>
      <w:r>
        <w:rPr>
          <w:rFonts w:ascii="仿宋" w:hAnsi="仿宋" w:eastAsia="仿宋" w:cs="Times New Roman"/>
          <w:sz w:val="24"/>
          <w:szCs w:val="20"/>
        </w:rPr>
        <w:t>。</w:t>
      </w:r>
    </w:p>
    <w:p>
      <w:pPr>
        <w:tabs>
          <w:tab w:val="left" w:pos="0"/>
        </w:tabs>
        <w:spacing w:before="360" w:line="420" w:lineRule="exact"/>
        <w:jc w:val="center"/>
        <w:rPr>
          <w:rFonts w:ascii="仿宋" w:hAnsi="仿宋" w:eastAsia="仿宋" w:cs="Times New Roman"/>
          <w:b/>
          <w:sz w:val="28"/>
          <w:szCs w:val="20"/>
        </w:rPr>
      </w:pPr>
      <w:r>
        <w:rPr>
          <w:rFonts w:ascii="仿宋" w:hAnsi="仿宋" w:eastAsia="仿宋" w:cs="Times New Roman"/>
          <w:b/>
          <w:sz w:val="28"/>
          <w:szCs w:val="20"/>
        </w:rPr>
        <w:t>第</w:t>
      </w:r>
      <w:r>
        <w:rPr>
          <w:rFonts w:hint="eastAsia" w:ascii="仿宋" w:hAnsi="仿宋" w:eastAsia="仿宋" w:cs="Times New Roman"/>
          <w:b/>
          <w:sz w:val="28"/>
          <w:szCs w:val="20"/>
        </w:rPr>
        <w:t>五</w:t>
      </w:r>
      <w:r>
        <w:rPr>
          <w:rFonts w:ascii="仿宋" w:hAnsi="仿宋" w:eastAsia="仿宋" w:cs="Times New Roman"/>
          <w:b/>
          <w:sz w:val="28"/>
          <w:szCs w:val="20"/>
        </w:rPr>
        <w:t>章</w:t>
      </w:r>
      <w:r>
        <w:rPr>
          <w:rFonts w:ascii="仿宋" w:hAnsi="仿宋" w:eastAsia="仿宋" w:cs="Times New Roman"/>
          <w:b/>
          <w:sz w:val="28"/>
          <w:szCs w:val="20"/>
        </w:rPr>
        <w:tab/>
      </w:r>
      <w:r>
        <w:rPr>
          <w:rFonts w:ascii="仿宋" w:hAnsi="仿宋" w:eastAsia="仿宋" w:cs="Times New Roman"/>
          <w:b/>
          <w:sz w:val="28"/>
          <w:szCs w:val="20"/>
        </w:rPr>
        <w:t>附则</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ascii="仿宋" w:hAnsi="仿宋" w:eastAsia="仿宋" w:cs="Times New Roman"/>
          <w:sz w:val="24"/>
          <w:szCs w:val="20"/>
        </w:rPr>
        <w:t>本办法</w:t>
      </w:r>
      <w:r>
        <w:rPr>
          <w:rFonts w:hint="eastAsia" w:ascii="仿宋" w:hAnsi="仿宋" w:eastAsia="仿宋" w:cs="Times New Roman"/>
          <w:sz w:val="24"/>
          <w:szCs w:val="20"/>
        </w:rPr>
        <w:t>所提及年限是以自然年份为准，如申报202</w:t>
      </w:r>
      <w:r>
        <w:rPr>
          <w:rFonts w:hint="eastAsia" w:ascii="仿宋" w:hAnsi="仿宋" w:eastAsia="仿宋" w:cs="Times New Roman"/>
          <w:sz w:val="24"/>
          <w:szCs w:val="20"/>
          <w:lang w:val="en-US" w:eastAsia="zh-CN"/>
        </w:rPr>
        <w:t>2</w:t>
      </w:r>
      <w:r>
        <w:rPr>
          <w:rFonts w:hint="eastAsia" w:ascii="仿宋" w:hAnsi="仿宋" w:eastAsia="仿宋" w:cs="Times New Roman"/>
          <w:sz w:val="24"/>
          <w:szCs w:val="20"/>
        </w:rPr>
        <w:t>年科技奖励的成果应在20</w:t>
      </w:r>
      <w:r>
        <w:rPr>
          <w:rFonts w:hint="eastAsia" w:ascii="仿宋" w:hAnsi="仿宋" w:eastAsia="仿宋" w:cs="Times New Roman"/>
          <w:sz w:val="24"/>
          <w:szCs w:val="20"/>
          <w:lang w:val="en-US" w:eastAsia="zh-CN"/>
        </w:rPr>
        <w:t>21</w:t>
      </w:r>
      <w:r>
        <w:rPr>
          <w:rFonts w:hint="eastAsia" w:ascii="仿宋" w:hAnsi="仿宋" w:eastAsia="仿宋" w:cs="Times New Roman"/>
          <w:sz w:val="24"/>
          <w:szCs w:val="20"/>
        </w:rPr>
        <w:t>年</w:t>
      </w:r>
      <w:r>
        <w:rPr>
          <w:rFonts w:hint="eastAsia" w:ascii="仿宋" w:hAnsi="仿宋" w:eastAsia="仿宋" w:cs="Times New Roman"/>
          <w:sz w:val="24"/>
          <w:szCs w:val="20"/>
          <w:lang w:val="en-US" w:eastAsia="zh-CN"/>
        </w:rPr>
        <w:t>1</w:t>
      </w:r>
      <w:r>
        <w:rPr>
          <w:rFonts w:hint="eastAsia" w:ascii="仿宋" w:hAnsi="仿宋" w:eastAsia="仿宋" w:cs="Times New Roman"/>
          <w:sz w:val="24"/>
          <w:szCs w:val="20"/>
        </w:rPr>
        <w:t>月</w:t>
      </w:r>
      <w:r>
        <w:rPr>
          <w:rFonts w:hint="eastAsia" w:ascii="仿宋" w:hAnsi="仿宋" w:eastAsia="仿宋" w:cs="Times New Roman"/>
          <w:sz w:val="24"/>
          <w:szCs w:val="20"/>
          <w:lang w:val="en-US" w:eastAsia="zh-CN"/>
        </w:rPr>
        <w:t>1</w:t>
      </w:r>
      <w:r>
        <w:rPr>
          <w:rFonts w:hint="eastAsia" w:ascii="仿宋" w:hAnsi="仿宋" w:eastAsia="仿宋" w:cs="Times New Roman"/>
          <w:sz w:val="24"/>
          <w:szCs w:val="20"/>
        </w:rPr>
        <w:t>日之前完成</w:t>
      </w:r>
      <w:r>
        <w:rPr>
          <w:rFonts w:ascii="仿宋" w:hAnsi="仿宋" w:eastAsia="仿宋" w:cs="Times New Roman"/>
          <w:sz w:val="24"/>
          <w:szCs w:val="20"/>
        </w:rPr>
        <w:t>。</w:t>
      </w:r>
      <w:r>
        <w:rPr>
          <w:rFonts w:ascii="Calibri" w:hAnsi="Calibri" w:eastAsia="仿宋" w:cs="Calibri"/>
          <w:sz w:val="24"/>
          <w:szCs w:val="20"/>
        </w:rPr>
        <w:t> </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hint="eastAsia" w:ascii="仿宋" w:hAnsi="仿宋" w:eastAsia="仿宋" w:cs="Times New Roman"/>
          <w:sz w:val="24"/>
          <w:szCs w:val="20"/>
        </w:rPr>
        <w:t>本办法由中国颗粒学会常务理事会通过后生效，</w:t>
      </w:r>
      <w:r>
        <w:rPr>
          <w:rFonts w:ascii="仿宋" w:hAnsi="仿宋" w:eastAsia="仿宋" w:cs="Times New Roman"/>
          <w:sz w:val="24"/>
          <w:szCs w:val="20"/>
        </w:rPr>
        <w:t>由学会奖励</w:t>
      </w:r>
      <w:r>
        <w:rPr>
          <w:rFonts w:hint="eastAsia" w:ascii="仿宋" w:hAnsi="仿宋" w:eastAsia="仿宋" w:cs="Times New Roman"/>
          <w:sz w:val="24"/>
          <w:szCs w:val="20"/>
        </w:rPr>
        <w:t>工作委员会</w:t>
      </w:r>
      <w:r>
        <w:rPr>
          <w:rFonts w:ascii="仿宋" w:hAnsi="仿宋" w:eastAsia="仿宋" w:cs="Times New Roman"/>
          <w:sz w:val="24"/>
          <w:szCs w:val="20"/>
        </w:rPr>
        <w:t>负责解释</w:t>
      </w:r>
      <w:r>
        <w:rPr>
          <w:rFonts w:hint="eastAsia" w:ascii="仿宋" w:hAnsi="仿宋" w:eastAsia="仿宋" w:cs="Times New Roman"/>
          <w:sz w:val="24"/>
          <w:szCs w:val="20"/>
        </w:rPr>
        <w:t>。</w:t>
      </w:r>
    </w:p>
    <w:p>
      <w:pPr>
        <w:numPr>
          <w:ilvl w:val="0"/>
          <w:numId w:val="1"/>
        </w:numPr>
        <w:tabs>
          <w:tab w:val="left" w:pos="960"/>
        </w:tabs>
        <w:spacing w:beforeLines="50" w:line="420" w:lineRule="exact"/>
        <w:ind w:left="960" w:hanging="960"/>
        <w:rPr>
          <w:rFonts w:ascii="仿宋" w:hAnsi="仿宋" w:eastAsia="仿宋" w:cs="Times New Roman"/>
          <w:sz w:val="24"/>
          <w:szCs w:val="20"/>
        </w:rPr>
      </w:pPr>
      <w:r>
        <w:rPr>
          <w:rFonts w:ascii="仿宋" w:hAnsi="仿宋" w:eastAsia="仿宋" w:cs="Times New Roman"/>
          <w:sz w:val="24"/>
          <w:szCs w:val="20"/>
        </w:rPr>
        <w:t>本办法自发布之日起实施。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62293"/>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4561C"/>
    <w:multiLevelType w:val="multilevel"/>
    <w:tmpl w:val="0974561C"/>
    <w:lvl w:ilvl="0" w:tentative="0">
      <w:start w:val="1"/>
      <w:numFmt w:val="chineseCountingThousand"/>
      <w:lvlText w:val="第%1条"/>
      <w:lvlJc w:val="left"/>
      <w:pPr>
        <w:ind w:left="2546" w:hanging="420"/>
      </w:pPr>
      <w:rPr>
        <w:rFonts w:hint="eastAsia" w:eastAsia="仿宋"/>
        <w:b/>
        <w:bCs/>
        <w:lang w:val="en-US"/>
      </w:rPr>
    </w:lvl>
    <w:lvl w:ilvl="1" w:tentative="0">
      <w:start w:val="1"/>
      <w:numFmt w:val="lowerLetter"/>
      <w:lvlText w:val="%2)"/>
      <w:lvlJc w:val="left"/>
      <w:pPr>
        <w:ind w:left="2966" w:hanging="420"/>
      </w:pPr>
    </w:lvl>
    <w:lvl w:ilvl="2" w:tentative="0">
      <w:start w:val="1"/>
      <w:numFmt w:val="lowerRoman"/>
      <w:lvlText w:val="%3."/>
      <w:lvlJc w:val="right"/>
      <w:pPr>
        <w:ind w:left="3386" w:hanging="420"/>
      </w:pPr>
    </w:lvl>
    <w:lvl w:ilvl="3" w:tentative="0">
      <w:start w:val="1"/>
      <w:numFmt w:val="decimal"/>
      <w:lvlText w:val="%4."/>
      <w:lvlJc w:val="left"/>
      <w:pPr>
        <w:ind w:left="3806" w:hanging="420"/>
      </w:pPr>
    </w:lvl>
    <w:lvl w:ilvl="4" w:tentative="0">
      <w:start w:val="1"/>
      <w:numFmt w:val="lowerLetter"/>
      <w:lvlText w:val="%5)"/>
      <w:lvlJc w:val="left"/>
      <w:pPr>
        <w:ind w:left="4226" w:hanging="420"/>
      </w:pPr>
    </w:lvl>
    <w:lvl w:ilvl="5" w:tentative="0">
      <w:start w:val="1"/>
      <w:numFmt w:val="lowerRoman"/>
      <w:lvlText w:val="%6."/>
      <w:lvlJc w:val="right"/>
      <w:pPr>
        <w:ind w:left="4646" w:hanging="420"/>
      </w:pPr>
    </w:lvl>
    <w:lvl w:ilvl="6" w:tentative="0">
      <w:start w:val="1"/>
      <w:numFmt w:val="decimal"/>
      <w:lvlText w:val="%7."/>
      <w:lvlJc w:val="left"/>
      <w:pPr>
        <w:ind w:left="5066" w:hanging="420"/>
      </w:pPr>
    </w:lvl>
    <w:lvl w:ilvl="7" w:tentative="0">
      <w:start w:val="1"/>
      <w:numFmt w:val="lowerLetter"/>
      <w:lvlText w:val="%8)"/>
      <w:lvlJc w:val="left"/>
      <w:pPr>
        <w:ind w:left="5486" w:hanging="420"/>
      </w:pPr>
    </w:lvl>
    <w:lvl w:ilvl="8" w:tentative="0">
      <w:start w:val="1"/>
      <w:numFmt w:val="lowerRoman"/>
      <w:lvlText w:val="%9."/>
      <w:lvlJc w:val="right"/>
      <w:pPr>
        <w:ind w:left="5906" w:hanging="420"/>
      </w:pPr>
    </w:lvl>
  </w:abstractNum>
  <w:abstractNum w:abstractNumId="1">
    <w:nsid w:val="22572B0D"/>
    <w:multiLevelType w:val="multilevel"/>
    <w:tmpl w:val="22572B0D"/>
    <w:lvl w:ilvl="0" w:tentative="0">
      <w:start w:val="1"/>
      <w:numFmt w:val="decimal"/>
      <w:lvlText w:val="%1."/>
      <w:lvlJc w:val="left"/>
      <w:pPr>
        <w:ind w:left="1270" w:hanging="420"/>
      </w:pPr>
      <w:rPr>
        <w:rFonts w:hint="eastAsia"/>
      </w:rPr>
    </w:lvl>
    <w:lvl w:ilvl="1" w:tentative="0">
      <w:start w:val="1"/>
      <w:numFmt w:val="lowerLetter"/>
      <w:lvlText w:val="%2)"/>
      <w:lvlJc w:val="left"/>
      <w:pPr>
        <w:ind w:left="430" w:hanging="420"/>
      </w:pPr>
    </w:lvl>
    <w:lvl w:ilvl="2" w:tentative="0">
      <w:start w:val="1"/>
      <w:numFmt w:val="lowerRoman"/>
      <w:lvlText w:val="%3."/>
      <w:lvlJc w:val="right"/>
      <w:pPr>
        <w:ind w:left="850" w:hanging="420"/>
      </w:pPr>
    </w:lvl>
    <w:lvl w:ilvl="3" w:tentative="0">
      <w:start w:val="1"/>
      <w:numFmt w:val="decimal"/>
      <w:lvlText w:val="%4."/>
      <w:lvlJc w:val="left"/>
      <w:pPr>
        <w:ind w:left="1270" w:hanging="420"/>
      </w:pPr>
    </w:lvl>
    <w:lvl w:ilvl="4" w:tentative="0">
      <w:start w:val="1"/>
      <w:numFmt w:val="lowerLetter"/>
      <w:lvlText w:val="%5)"/>
      <w:lvlJc w:val="left"/>
      <w:pPr>
        <w:ind w:left="1690" w:hanging="420"/>
      </w:pPr>
    </w:lvl>
    <w:lvl w:ilvl="5" w:tentative="0">
      <w:start w:val="1"/>
      <w:numFmt w:val="lowerRoman"/>
      <w:lvlText w:val="%6."/>
      <w:lvlJc w:val="right"/>
      <w:pPr>
        <w:ind w:left="2110" w:hanging="420"/>
      </w:pPr>
    </w:lvl>
    <w:lvl w:ilvl="6" w:tentative="0">
      <w:start w:val="1"/>
      <w:numFmt w:val="decimal"/>
      <w:lvlText w:val="%7."/>
      <w:lvlJc w:val="left"/>
      <w:pPr>
        <w:ind w:left="2530" w:hanging="420"/>
      </w:pPr>
    </w:lvl>
    <w:lvl w:ilvl="7" w:tentative="0">
      <w:start w:val="1"/>
      <w:numFmt w:val="lowerLetter"/>
      <w:lvlText w:val="%8)"/>
      <w:lvlJc w:val="left"/>
      <w:pPr>
        <w:ind w:left="2950" w:hanging="420"/>
      </w:pPr>
    </w:lvl>
    <w:lvl w:ilvl="8" w:tentative="0">
      <w:start w:val="1"/>
      <w:numFmt w:val="lowerRoman"/>
      <w:lvlText w:val="%9."/>
      <w:lvlJc w:val="right"/>
      <w:pPr>
        <w:ind w:left="3370" w:hanging="420"/>
      </w:pPr>
    </w:lvl>
  </w:abstractNum>
  <w:abstractNum w:abstractNumId="2">
    <w:nsid w:val="35605BD8"/>
    <w:multiLevelType w:val="multilevel"/>
    <w:tmpl w:val="35605BD8"/>
    <w:lvl w:ilvl="0" w:tentative="0">
      <w:start w:val="1"/>
      <w:numFmt w:val="decimal"/>
      <w:lvlText w:val="%1."/>
      <w:lvlJc w:val="left"/>
      <w:pPr>
        <w:ind w:left="127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1C0AA1"/>
    <w:multiLevelType w:val="multilevel"/>
    <w:tmpl w:val="361C0AA1"/>
    <w:lvl w:ilvl="0" w:tentative="0">
      <w:start w:val="1"/>
      <w:numFmt w:val="decimal"/>
      <w:lvlText w:val="%1."/>
      <w:lvlJc w:val="left"/>
      <w:pPr>
        <w:ind w:left="1270" w:hanging="420"/>
      </w:pPr>
    </w:lvl>
    <w:lvl w:ilvl="1" w:tentative="0">
      <w:start w:val="1"/>
      <w:numFmt w:val="lowerLetter"/>
      <w:lvlText w:val="%2)"/>
      <w:lvlJc w:val="left"/>
      <w:pPr>
        <w:ind w:left="430" w:hanging="420"/>
      </w:pPr>
    </w:lvl>
    <w:lvl w:ilvl="2" w:tentative="0">
      <w:start w:val="1"/>
      <w:numFmt w:val="lowerRoman"/>
      <w:lvlText w:val="%3."/>
      <w:lvlJc w:val="right"/>
      <w:pPr>
        <w:ind w:left="850" w:hanging="420"/>
      </w:pPr>
    </w:lvl>
    <w:lvl w:ilvl="3" w:tentative="0">
      <w:start w:val="1"/>
      <w:numFmt w:val="decimal"/>
      <w:lvlText w:val="%4."/>
      <w:lvlJc w:val="left"/>
      <w:pPr>
        <w:ind w:left="1270" w:hanging="420"/>
      </w:pPr>
    </w:lvl>
    <w:lvl w:ilvl="4" w:tentative="0">
      <w:start w:val="1"/>
      <w:numFmt w:val="lowerLetter"/>
      <w:lvlText w:val="%5)"/>
      <w:lvlJc w:val="left"/>
      <w:pPr>
        <w:ind w:left="1690" w:hanging="420"/>
      </w:pPr>
    </w:lvl>
    <w:lvl w:ilvl="5" w:tentative="0">
      <w:start w:val="1"/>
      <w:numFmt w:val="lowerRoman"/>
      <w:lvlText w:val="%6."/>
      <w:lvlJc w:val="right"/>
      <w:pPr>
        <w:ind w:left="2110" w:hanging="420"/>
      </w:pPr>
    </w:lvl>
    <w:lvl w:ilvl="6" w:tentative="0">
      <w:start w:val="1"/>
      <w:numFmt w:val="decimal"/>
      <w:lvlText w:val="%7."/>
      <w:lvlJc w:val="left"/>
      <w:pPr>
        <w:ind w:left="2530" w:hanging="420"/>
      </w:pPr>
    </w:lvl>
    <w:lvl w:ilvl="7" w:tentative="0">
      <w:start w:val="1"/>
      <w:numFmt w:val="lowerLetter"/>
      <w:lvlText w:val="%8)"/>
      <w:lvlJc w:val="left"/>
      <w:pPr>
        <w:ind w:left="2950" w:hanging="420"/>
      </w:pPr>
    </w:lvl>
    <w:lvl w:ilvl="8" w:tentative="0">
      <w:start w:val="1"/>
      <w:numFmt w:val="lowerRoman"/>
      <w:lvlText w:val="%9."/>
      <w:lvlJc w:val="right"/>
      <w:pPr>
        <w:ind w:left="3370" w:hanging="420"/>
      </w:pPr>
    </w:lvl>
  </w:abstractNum>
  <w:abstractNum w:abstractNumId="4">
    <w:nsid w:val="437E72DB"/>
    <w:multiLevelType w:val="multilevel"/>
    <w:tmpl w:val="437E72DB"/>
    <w:lvl w:ilvl="0" w:tentative="0">
      <w:start w:val="1"/>
      <w:numFmt w:val="decimal"/>
      <w:lvlText w:val="%1."/>
      <w:lvlJc w:val="left"/>
      <w:pPr>
        <w:ind w:left="127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ECE1A88"/>
    <w:multiLevelType w:val="multilevel"/>
    <w:tmpl w:val="6ECE1A88"/>
    <w:lvl w:ilvl="0" w:tentative="0">
      <w:start w:val="1"/>
      <w:numFmt w:val="decimal"/>
      <w:lvlText w:val="%1."/>
      <w:lvlJc w:val="left"/>
      <w:pPr>
        <w:ind w:left="127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88132AF"/>
    <w:multiLevelType w:val="multilevel"/>
    <w:tmpl w:val="788132AF"/>
    <w:lvl w:ilvl="0" w:tentative="0">
      <w:start w:val="1"/>
      <w:numFmt w:val="decimal"/>
      <w:lvlText w:val="%1."/>
      <w:lvlJc w:val="left"/>
      <w:pPr>
        <w:ind w:left="127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F9"/>
    <w:rsid w:val="00006C22"/>
    <w:rsid w:val="00007777"/>
    <w:rsid w:val="00007CF5"/>
    <w:rsid w:val="00014920"/>
    <w:rsid w:val="00022729"/>
    <w:rsid w:val="00022CC3"/>
    <w:rsid w:val="00042606"/>
    <w:rsid w:val="00045577"/>
    <w:rsid w:val="0007385A"/>
    <w:rsid w:val="0007531F"/>
    <w:rsid w:val="0009278E"/>
    <w:rsid w:val="0009306A"/>
    <w:rsid w:val="000A1B22"/>
    <w:rsid w:val="000A1BDF"/>
    <w:rsid w:val="000B3C84"/>
    <w:rsid w:val="000B4337"/>
    <w:rsid w:val="000B59E5"/>
    <w:rsid w:val="000D443D"/>
    <w:rsid w:val="000E15B5"/>
    <w:rsid w:val="000F0DAC"/>
    <w:rsid w:val="000F3138"/>
    <w:rsid w:val="0010079E"/>
    <w:rsid w:val="00104EB2"/>
    <w:rsid w:val="0011765A"/>
    <w:rsid w:val="00121CFD"/>
    <w:rsid w:val="00141B55"/>
    <w:rsid w:val="00143FFF"/>
    <w:rsid w:val="00163AFD"/>
    <w:rsid w:val="00171430"/>
    <w:rsid w:val="00183BD0"/>
    <w:rsid w:val="00197DFF"/>
    <w:rsid w:val="001A58A9"/>
    <w:rsid w:val="001A7218"/>
    <w:rsid w:val="001B42D4"/>
    <w:rsid w:val="001B777A"/>
    <w:rsid w:val="001C1707"/>
    <w:rsid w:val="001D0592"/>
    <w:rsid w:val="001D0D29"/>
    <w:rsid w:val="001D37FA"/>
    <w:rsid w:val="001E1D23"/>
    <w:rsid w:val="001F765A"/>
    <w:rsid w:val="002042A6"/>
    <w:rsid w:val="00212739"/>
    <w:rsid w:val="00215EC9"/>
    <w:rsid w:val="00215FE7"/>
    <w:rsid w:val="00234CAA"/>
    <w:rsid w:val="002350C1"/>
    <w:rsid w:val="00240C76"/>
    <w:rsid w:val="00256B3A"/>
    <w:rsid w:val="00260A6B"/>
    <w:rsid w:val="00261D57"/>
    <w:rsid w:val="00276997"/>
    <w:rsid w:val="002910C7"/>
    <w:rsid w:val="002A573C"/>
    <w:rsid w:val="002B31D5"/>
    <w:rsid w:val="002B7A6C"/>
    <w:rsid w:val="002C1297"/>
    <w:rsid w:val="002D3BF6"/>
    <w:rsid w:val="002D59F5"/>
    <w:rsid w:val="002E0151"/>
    <w:rsid w:val="002E113C"/>
    <w:rsid w:val="003136EC"/>
    <w:rsid w:val="003260F9"/>
    <w:rsid w:val="00343876"/>
    <w:rsid w:val="00365D29"/>
    <w:rsid w:val="00366525"/>
    <w:rsid w:val="00367D1F"/>
    <w:rsid w:val="003822C0"/>
    <w:rsid w:val="00383B0D"/>
    <w:rsid w:val="003B346E"/>
    <w:rsid w:val="003B4205"/>
    <w:rsid w:val="003C134E"/>
    <w:rsid w:val="003D65B9"/>
    <w:rsid w:val="003D689F"/>
    <w:rsid w:val="003E3E78"/>
    <w:rsid w:val="003F6ACA"/>
    <w:rsid w:val="00401B41"/>
    <w:rsid w:val="004053DD"/>
    <w:rsid w:val="00405F6F"/>
    <w:rsid w:val="00405FE1"/>
    <w:rsid w:val="004112CB"/>
    <w:rsid w:val="00424503"/>
    <w:rsid w:val="004259AE"/>
    <w:rsid w:val="004357AE"/>
    <w:rsid w:val="004456FE"/>
    <w:rsid w:val="00456396"/>
    <w:rsid w:val="004613DE"/>
    <w:rsid w:val="00481792"/>
    <w:rsid w:val="00490D1F"/>
    <w:rsid w:val="00495007"/>
    <w:rsid w:val="004976E3"/>
    <w:rsid w:val="004A058C"/>
    <w:rsid w:val="004A2F00"/>
    <w:rsid w:val="004B0887"/>
    <w:rsid w:val="004B247D"/>
    <w:rsid w:val="004C0FE1"/>
    <w:rsid w:val="004C21B4"/>
    <w:rsid w:val="004D1F9D"/>
    <w:rsid w:val="004D41EC"/>
    <w:rsid w:val="004D4829"/>
    <w:rsid w:val="004E1FA7"/>
    <w:rsid w:val="004F050A"/>
    <w:rsid w:val="004F27BA"/>
    <w:rsid w:val="004F2F00"/>
    <w:rsid w:val="00507803"/>
    <w:rsid w:val="005105FE"/>
    <w:rsid w:val="00513E9C"/>
    <w:rsid w:val="0053484A"/>
    <w:rsid w:val="005530FB"/>
    <w:rsid w:val="005562F0"/>
    <w:rsid w:val="0057545C"/>
    <w:rsid w:val="00577E16"/>
    <w:rsid w:val="005832C4"/>
    <w:rsid w:val="005868B7"/>
    <w:rsid w:val="005B42CC"/>
    <w:rsid w:val="005C281D"/>
    <w:rsid w:val="005D4FE4"/>
    <w:rsid w:val="005D5BEC"/>
    <w:rsid w:val="005F01A7"/>
    <w:rsid w:val="005F1AA3"/>
    <w:rsid w:val="0061037B"/>
    <w:rsid w:val="0061052E"/>
    <w:rsid w:val="0061171E"/>
    <w:rsid w:val="00612A6F"/>
    <w:rsid w:val="00631406"/>
    <w:rsid w:val="00632558"/>
    <w:rsid w:val="00632B55"/>
    <w:rsid w:val="00636DB3"/>
    <w:rsid w:val="00645748"/>
    <w:rsid w:val="0065269C"/>
    <w:rsid w:val="00673743"/>
    <w:rsid w:val="006769C4"/>
    <w:rsid w:val="00682182"/>
    <w:rsid w:val="00682B31"/>
    <w:rsid w:val="00691B7C"/>
    <w:rsid w:val="006A31C0"/>
    <w:rsid w:val="006D03D7"/>
    <w:rsid w:val="006D102B"/>
    <w:rsid w:val="006E3167"/>
    <w:rsid w:val="006E5BEF"/>
    <w:rsid w:val="006F07FB"/>
    <w:rsid w:val="007126FD"/>
    <w:rsid w:val="00713B23"/>
    <w:rsid w:val="00732793"/>
    <w:rsid w:val="00737F15"/>
    <w:rsid w:val="00744776"/>
    <w:rsid w:val="007566EF"/>
    <w:rsid w:val="007723B3"/>
    <w:rsid w:val="00775D23"/>
    <w:rsid w:val="00790739"/>
    <w:rsid w:val="00796B6F"/>
    <w:rsid w:val="00797295"/>
    <w:rsid w:val="007A2E91"/>
    <w:rsid w:val="007B0536"/>
    <w:rsid w:val="007F099F"/>
    <w:rsid w:val="0080324F"/>
    <w:rsid w:val="008039B8"/>
    <w:rsid w:val="00805208"/>
    <w:rsid w:val="00825287"/>
    <w:rsid w:val="008265F2"/>
    <w:rsid w:val="00826893"/>
    <w:rsid w:val="00842AEB"/>
    <w:rsid w:val="00860701"/>
    <w:rsid w:val="00864E38"/>
    <w:rsid w:val="00875717"/>
    <w:rsid w:val="00877FD3"/>
    <w:rsid w:val="00891791"/>
    <w:rsid w:val="008A4B66"/>
    <w:rsid w:val="008A5AD7"/>
    <w:rsid w:val="008B794E"/>
    <w:rsid w:val="008C4150"/>
    <w:rsid w:val="008D4EFB"/>
    <w:rsid w:val="008E793A"/>
    <w:rsid w:val="0090041A"/>
    <w:rsid w:val="00906A8D"/>
    <w:rsid w:val="00930E42"/>
    <w:rsid w:val="009416D7"/>
    <w:rsid w:val="00953FF0"/>
    <w:rsid w:val="00961702"/>
    <w:rsid w:val="00961D6C"/>
    <w:rsid w:val="00962B42"/>
    <w:rsid w:val="0096442B"/>
    <w:rsid w:val="00980311"/>
    <w:rsid w:val="00981A61"/>
    <w:rsid w:val="00982FC6"/>
    <w:rsid w:val="0099308C"/>
    <w:rsid w:val="00995795"/>
    <w:rsid w:val="0099582A"/>
    <w:rsid w:val="009A2B0B"/>
    <w:rsid w:val="009B229E"/>
    <w:rsid w:val="009C4653"/>
    <w:rsid w:val="009E1CDD"/>
    <w:rsid w:val="009E4FFB"/>
    <w:rsid w:val="009E56DB"/>
    <w:rsid w:val="009F0BC2"/>
    <w:rsid w:val="009F2282"/>
    <w:rsid w:val="009F42B0"/>
    <w:rsid w:val="009F571F"/>
    <w:rsid w:val="009F5A62"/>
    <w:rsid w:val="00A05338"/>
    <w:rsid w:val="00A11557"/>
    <w:rsid w:val="00A24356"/>
    <w:rsid w:val="00A2763F"/>
    <w:rsid w:val="00A369A7"/>
    <w:rsid w:val="00A43C08"/>
    <w:rsid w:val="00A567D7"/>
    <w:rsid w:val="00A635AF"/>
    <w:rsid w:val="00A6374A"/>
    <w:rsid w:val="00A93ABB"/>
    <w:rsid w:val="00AA5466"/>
    <w:rsid w:val="00AB0944"/>
    <w:rsid w:val="00AB3CB4"/>
    <w:rsid w:val="00AC0C63"/>
    <w:rsid w:val="00AC30BC"/>
    <w:rsid w:val="00AC520F"/>
    <w:rsid w:val="00AC76BE"/>
    <w:rsid w:val="00AD2858"/>
    <w:rsid w:val="00AD2E6A"/>
    <w:rsid w:val="00AD474D"/>
    <w:rsid w:val="00AD5607"/>
    <w:rsid w:val="00AD5C62"/>
    <w:rsid w:val="00AF103B"/>
    <w:rsid w:val="00AF5933"/>
    <w:rsid w:val="00B03863"/>
    <w:rsid w:val="00B07450"/>
    <w:rsid w:val="00B10D8F"/>
    <w:rsid w:val="00B12E6E"/>
    <w:rsid w:val="00B46E20"/>
    <w:rsid w:val="00B47A2B"/>
    <w:rsid w:val="00B51F17"/>
    <w:rsid w:val="00B56B75"/>
    <w:rsid w:val="00B613E9"/>
    <w:rsid w:val="00B617D7"/>
    <w:rsid w:val="00B8065F"/>
    <w:rsid w:val="00B80B71"/>
    <w:rsid w:val="00B844C2"/>
    <w:rsid w:val="00B94377"/>
    <w:rsid w:val="00BA794E"/>
    <w:rsid w:val="00BB33A4"/>
    <w:rsid w:val="00BB4CA3"/>
    <w:rsid w:val="00BB4D68"/>
    <w:rsid w:val="00BB5B58"/>
    <w:rsid w:val="00BC7A98"/>
    <w:rsid w:val="00BE4D08"/>
    <w:rsid w:val="00BF6E16"/>
    <w:rsid w:val="00C076D2"/>
    <w:rsid w:val="00C12761"/>
    <w:rsid w:val="00C13CD3"/>
    <w:rsid w:val="00C16466"/>
    <w:rsid w:val="00C204EB"/>
    <w:rsid w:val="00C22C70"/>
    <w:rsid w:val="00C26099"/>
    <w:rsid w:val="00C336B8"/>
    <w:rsid w:val="00C35FF3"/>
    <w:rsid w:val="00C4052C"/>
    <w:rsid w:val="00C451C4"/>
    <w:rsid w:val="00C469E6"/>
    <w:rsid w:val="00C6571A"/>
    <w:rsid w:val="00C73D34"/>
    <w:rsid w:val="00C76394"/>
    <w:rsid w:val="00C83098"/>
    <w:rsid w:val="00C873C6"/>
    <w:rsid w:val="00C9442A"/>
    <w:rsid w:val="00CB129A"/>
    <w:rsid w:val="00CC19C1"/>
    <w:rsid w:val="00CC5747"/>
    <w:rsid w:val="00CD18BA"/>
    <w:rsid w:val="00CD41CF"/>
    <w:rsid w:val="00CE2D54"/>
    <w:rsid w:val="00CF3594"/>
    <w:rsid w:val="00CF369C"/>
    <w:rsid w:val="00CF4FD2"/>
    <w:rsid w:val="00D00219"/>
    <w:rsid w:val="00D2354F"/>
    <w:rsid w:val="00D370CC"/>
    <w:rsid w:val="00D51E25"/>
    <w:rsid w:val="00D6080F"/>
    <w:rsid w:val="00D649F3"/>
    <w:rsid w:val="00D80E0A"/>
    <w:rsid w:val="00D83B3C"/>
    <w:rsid w:val="00D8477C"/>
    <w:rsid w:val="00D97130"/>
    <w:rsid w:val="00DA5031"/>
    <w:rsid w:val="00DC0015"/>
    <w:rsid w:val="00DC2B53"/>
    <w:rsid w:val="00DC68BA"/>
    <w:rsid w:val="00DE5BBF"/>
    <w:rsid w:val="00DF301B"/>
    <w:rsid w:val="00DF624E"/>
    <w:rsid w:val="00E12030"/>
    <w:rsid w:val="00E15A77"/>
    <w:rsid w:val="00E22FAC"/>
    <w:rsid w:val="00E33D12"/>
    <w:rsid w:val="00E40BCB"/>
    <w:rsid w:val="00E46579"/>
    <w:rsid w:val="00E500E5"/>
    <w:rsid w:val="00E518B0"/>
    <w:rsid w:val="00E533AA"/>
    <w:rsid w:val="00E542BD"/>
    <w:rsid w:val="00E67DA5"/>
    <w:rsid w:val="00E71AC5"/>
    <w:rsid w:val="00E74AEC"/>
    <w:rsid w:val="00E8357A"/>
    <w:rsid w:val="00E90574"/>
    <w:rsid w:val="00E948C3"/>
    <w:rsid w:val="00EA4FC6"/>
    <w:rsid w:val="00EB2FC0"/>
    <w:rsid w:val="00EC5079"/>
    <w:rsid w:val="00EC7D7C"/>
    <w:rsid w:val="00ED2669"/>
    <w:rsid w:val="00ED47AE"/>
    <w:rsid w:val="00EE15F3"/>
    <w:rsid w:val="00EF4F98"/>
    <w:rsid w:val="00F0640C"/>
    <w:rsid w:val="00F40B3A"/>
    <w:rsid w:val="00F51F3A"/>
    <w:rsid w:val="00F5463D"/>
    <w:rsid w:val="00F72D69"/>
    <w:rsid w:val="00F74AB1"/>
    <w:rsid w:val="00F80A43"/>
    <w:rsid w:val="00F8578D"/>
    <w:rsid w:val="00F94F49"/>
    <w:rsid w:val="00F9666D"/>
    <w:rsid w:val="00FA6337"/>
    <w:rsid w:val="00FB236A"/>
    <w:rsid w:val="00FC16A6"/>
    <w:rsid w:val="00FC3DF0"/>
    <w:rsid w:val="00FC61EF"/>
    <w:rsid w:val="00FD34DB"/>
    <w:rsid w:val="00FD79BA"/>
    <w:rsid w:val="00FF23AA"/>
    <w:rsid w:val="00FF6EF0"/>
    <w:rsid w:val="06DC0977"/>
    <w:rsid w:val="1E3E4729"/>
    <w:rsid w:val="40A67324"/>
    <w:rsid w:val="547F0A35"/>
    <w:rsid w:val="68A84A6E"/>
    <w:rsid w:val="6EF54F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0"/>
    <w:pPr>
      <w:spacing w:line="360" w:lineRule="auto"/>
      <w:ind w:firstLine="480" w:firstLineChars="200"/>
    </w:pPr>
    <w:rPr>
      <w:rFonts w:ascii="仿宋_GB2312" w:hAnsi="Times New Roman" w:eastAsia="宋体" w:cs="Times New Roman"/>
      <w:sz w:val="24"/>
      <w:szCs w:val="24"/>
    </w:rPr>
  </w:style>
  <w:style w:type="paragraph" w:styleId="4">
    <w:name w:val="Balloon Text"/>
    <w:basedOn w:val="1"/>
    <w:link w:val="10"/>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customStyle="1" w:styleId="10">
    <w:name w:val="批注框文本 Char"/>
    <w:basedOn w:val="8"/>
    <w:link w:val="4"/>
    <w:semiHidden/>
    <w:qFormat/>
    <w:uiPriority w:val="99"/>
    <w:rPr>
      <w:sz w:val="18"/>
      <w:szCs w:val="18"/>
    </w:rPr>
  </w:style>
  <w:style w:type="character" w:customStyle="1" w:styleId="11">
    <w:name w:val="页眉 Char"/>
    <w:basedOn w:val="8"/>
    <w:link w:val="6"/>
    <w:uiPriority w:val="99"/>
    <w:rPr>
      <w:sz w:val="18"/>
      <w:szCs w:val="18"/>
    </w:rPr>
  </w:style>
  <w:style w:type="character" w:customStyle="1" w:styleId="12">
    <w:name w:val="页脚 Char"/>
    <w:basedOn w:val="8"/>
    <w:link w:val="5"/>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Char"/>
    <w:basedOn w:val="8"/>
    <w:link w:val="2"/>
    <w:uiPriority w:val="0"/>
    <w:rPr>
      <w:rFonts w:ascii="Times New Roman" w:hAnsi="Times New Roman" w:eastAsia="宋体" w:cs="Times New Roman"/>
      <w:b/>
      <w:bCs/>
      <w:kern w:val="44"/>
      <w:sz w:val="44"/>
      <w:szCs w:val="44"/>
    </w:rPr>
  </w:style>
  <w:style w:type="character" w:customStyle="1" w:styleId="15">
    <w:name w:val="纯文本 Char"/>
    <w:basedOn w:val="8"/>
    <w:link w:val="3"/>
    <w:uiPriority w:val="0"/>
    <w:rPr>
      <w:rFonts w:ascii="仿宋_GB2312" w:hAnsi="Times New Roman"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A9A0F-7F7A-4BEA-AF2B-88D61DDB71C9}">
  <ds:schemaRefs/>
</ds:datastoreItem>
</file>

<file path=docProps/app.xml><?xml version="1.0" encoding="utf-8"?>
<Properties xmlns="http://schemas.openxmlformats.org/officeDocument/2006/extended-properties" xmlns:vt="http://schemas.openxmlformats.org/officeDocument/2006/docPropsVTypes">
  <Template>Normal</Template>
  <Pages>4</Pages>
  <Words>1667</Words>
  <Characters>1679</Characters>
  <Lines>13</Lines>
  <Paragraphs>3</Paragraphs>
  <TotalTime>826</TotalTime>
  <ScaleCrop>false</ScaleCrop>
  <LinksUpToDate>false</LinksUpToDate>
  <CharactersWithSpaces>1687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2020-03-03T11:38:00Z</dcterms:created>
  <dc:creator>klxh</dc:creator>
  <cp:lastModifiedBy>狮子的月亮 </cp:lastModifiedBy>
  <cp:lastPrinted>2018-04-11T03:37:00Z</cp:lastPrinted>
  <dcterms:modified xsi:type="dcterms:W3CDTF">2022-03-21T09:54:40Z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3D7C3A33334E40738C0D16647DB905D6</vt:lpwstr>
  </property>
</Properties>
</file>